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</w:p>
    <w:p>
      <w:pPr>
        <w:rPr/>
      </w:pPr>
      <w:r>
        <w:t>附件1：</w:t>
      </w:r>
    </w:p>
    <w:p>
      <w:pPr>
        <w:rPr/>
      </w:pPr>
    </w:p>
    <w:p>
      <w:pPr>
        <w:rPr/>
      </w:pPr>
      <w:r>
        <w:t>　　中小学教师资格考试网上报名及缴费流程图</w:t>
      </w:r>
    </w:p>
    <w:p>
      <w:pPr>
        <w:rPr/>
      </w:pPr>
    </w:p>
    <w:p>
      <w:pPr>
        <w:rPr/>
      </w:pPr>
      <w:r>
        <w:t>　　</w:t>
      </w:r>
      <w:r>
        <w:rPr/>
        <w:fldChar w:fldCharType="begin"/>
      </w:r>
      <w:r>
        <w:instrText xml:space="preserve">INCLUDEPICTURE \d "http://www.ntce.cn/res/Home/1704/17041790.jpg" \* MERGEFORMATINET </w:instrText>
      </w:r>
      <w:r>
        <w:rPr/>
        <w:fldChar w:fldCharType="separate"/>
      </w:r>
      <w:r>
        <w:rPr/>
        <w:drawing>
          <wp:inline distT="0" distB="0" distL="114300" distR="114300">
            <wp:extent cx="4248150" cy="57150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/>
        <w:fldChar w:fldCharType="end"/>
      </w:r>
    </w:p>
    <w:p>
      <w:pPr>
        <w:rPr/>
      </w:pPr>
    </w:p>
    <w:p>
      <w:pPr>
        <w:rPr/>
      </w:pPr>
      <w:r>
        <w:t>　　附件2：</w:t>
      </w:r>
      <w:bookmarkStart w:id="0" w:name="_GoBack"/>
      <w:bookmarkEnd w:id="0"/>
    </w:p>
    <w:p>
      <w:pPr>
        <w:rPr/>
      </w:pPr>
    </w:p>
    <w:p>
      <w:pPr>
        <w:rPr/>
      </w:pPr>
      <w:r>
        <w:t>　　中小学教师资格考试报名在线支付银行列表</w:t>
      </w:r>
    </w:p>
    <w:p>
      <w:pPr>
        <w:rPr/>
      </w:pPr>
    </w:p>
    <w:tbl>
      <w:tblPr>
        <w:tblpPr w:vertAnchor="text" w:tblpXSpec="center"/>
        <w:tblW w:w="4905" w:type="dxa"/>
        <w:jc w:val="center"/>
        <w:tblCellSpacing w:w="0" w:type="dxa"/>
        <w:tblInd w:w="17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39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序号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招商银行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2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建设银行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3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工商银行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4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平安银行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5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民生银行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6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兴业银行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7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农业银行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8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广东发展银行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9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北京银行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10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邮政银行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11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华夏银行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12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交通银行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13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浦发银行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14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光大银行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15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北京农村商业银行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16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渤海银行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17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中信银行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18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中国银行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19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上海银行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rPr/>
            </w:pPr>
            <w:r>
              <w:t>20</w:t>
            </w:r>
          </w:p>
        </w:tc>
        <w:tc>
          <w:tcPr>
            <w:tcW w:w="3900" w:type="dxa"/>
            <w:shd w:val="clear"/>
            <w:vAlign w:val="center"/>
          </w:tcPr>
          <w:p>
            <w:pPr>
              <w:rPr/>
            </w:pPr>
            <w:r>
              <w:t>银联支付</w:t>
            </w:r>
          </w:p>
        </w:tc>
      </w:tr>
    </w:tbl>
    <w:p>
      <w:pPr>
        <w:rPr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07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2017-04-21T07:15:34Z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